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33" w:rsidRPr="002F2733" w:rsidRDefault="002F2733" w:rsidP="002F2733">
      <w:pPr>
        <w:rPr>
          <w:rFonts w:ascii="Arial Narrow" w:hAnsi="Arial Narrow"/>
          <w:szCs w:val="24"/>
        </w:rPr>
      </w:pPr>
    </w:p>
    <w:p w:rsidR="0026009B" w:rsidRDefault="0026009B" w:rsidP="0026009B">
      <w:pPr>
        <w:jc w:val="center"/>
        <w:rPr>
          <w:rFonts w:ascii="Times New Roman" w:hAnsi="Times New Roman"/>
          <w:b/>
          <w:szCs w:val="24"/>
        </w:rPr>
      </w:pPr>
      <w:r w:rsidRPr="0026009B">
        <w:rPr>
          <w:rFonts w:ascii="Times New Roman" w:hAnsi="Times New Roman"/>
          <w:b/>
          <w:szCs w:val="24"/>
        </w:rPr>
        <w:t>LISTA DOKUMENATA ZA PRAVDANJE TROŠKOVA U OKVIRU PROJEKTA EARSMUS +</w:t>
      </w:r>
    </w:p>
    <w:p w:rsidR="0026009B" w:rsidRDefault="0026009B" w:rsidP="0026009B">
      <w:pPr>
        <w:rPr>
          <w:rFonts w:ascii="Times New Roman" w:hAnsi="Times New Roman"/>
          <w:b/>
          <w:szCs w:val="24"/>
        </w:rPr>
      </w:pPr>
    </w:p>
    <w:p w:rsidR="00165DBF" w:rsidRDefault="00165DBF" w:rsidP="002600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Grant u okviru Erasmus + Capacity building je proračunat na osnovu stvarnih i jediničnih troškova (Actual and Unit costs). Stvarni troškovi su troškovi nastali u okviru budžetske linije </w:t>
      </w:r>
      <w:r>
        <w:rPr>
          <w:rFonts w:ascii="Times New Roman" w:hAnsi="Times New Roman"/>
          <w:i/>
          <w:szCs w:val="24"/>
        </w:rPr>
        <w:t>Equipment</w:t>
      </w:r>
      <w:r>
        <w:rPr>
          <w:rFonts w:ascii="Times New Roman" w:hAnsi="Times New Roman"/>
          <w:szCs w:val="24"/>
        </w:rPr>
        <w:t xml:space="preserve"> i </w:t>
      </w:r>
      <w:r w:rsidRPr="00165DBF">
        <w:rPr>
          <w:rFonts w:ascii="Times New Roman" w:hAnsi="Times New Roman"/>
          <w:i/>
          <w:szCs w:val="24"/>
        </w:rPr>
        <w:t>Subcontracting costs.</w:t>
      </w:r>
      <w:r>
        <w:rPr>
          <w:rFonts w:ascii="Times New Roman" w:hAnsi="Times New Roman"/>
          <w:szCs w:val="24"/>
        </w:rPr>
        <w:t xml:space="preserve"> Pod jediničnim troškovima se nalaze Staff costs, Travel costs i Costs of Stay.</w:t>
      </w:r>
    </w:p>
    <w:p w:rsidR="00336ED4" w:rsidRDefault="00336ED4" w:rsidP="00165DBF">
      <w:pPr>
        <w:rPr>
          <w:rFonts w:ascii="Times New Roman" w:hAnsi="Times New Roman"/>
          <w:b/>
          <w:szCs w:val="24"/>
        </w:rPr>
      </w:pPr>
    </w:p>
    <w:p w:rsidR="00336ED4" w:rsidRDefault="00336ED4" w:rsidP="00165DBF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STAFF COSTS</w:t>
      </w:r>
    </w:p>
    <w:p w:rsidR="00336ED4" w:rsidRDefault="00336ED4" w:rsidP="00165DBF">
      <w:pPr>
        <w:rPr>
          <w:rFonts w:ascii="Times New Roman" w:hAnsi="Times New Roman"/>
          <w:b/>
          <w:szCs w:val="24"/>
        </w:rPr>
      </w:pPr>
    </w:p>
    <w:p w:rsidR="00165DBF" w:rsidRDefault="00165DBF" w:rsidP="00165DB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Kod ovih troškova za svaku kategoriju angažovanog osoblja (manager, researcher/trainer, technical and administrative)  u zavisnosti od aktivnosti koju obavlja postoji definisana dnevnica. </w:t>
      </w:r>
    </w:p>
    <w:p w:rsidR="00165DBF" w:rsidRDefault="00165DBF" w:rsidP="00165DBF">
      <w:pPr>
        <w:rPr>
          <w:rFonts w:ascii="Times New Roman" w:hAnsi="Times New Roman"/>
          <w:szCs w:val="24"/>
        </w:rPr>
      </w:pPr>
    </w:p>
    <w:p w:rsidR="00336ED4" w:rsidRPr="00336ED4" w:rsidRDefault="00336ED4" w:rsidP="00336ED4">
      <w:pPr>
        <w:jc w:val="center"/>
        <w:rPr>
          <w:rFonts w:ascii="Times New Roman" w:hAnsi="Times New Roman"/>
          <w:b/>
          <w:szCs w:val="24"/>
        </w:rPr>
      </w:pPr>
      <w:r w:rsidRPr="00336ED4">
        <w:rPr>
          <w:rFonts w:ascii="Times New Roman" w:hAnsi="Times New Roman"/>
          <w:b/>
          <w:szCs w:val="24"/>
        </w:rPr>
        <w:t>UNIT COSTS FOR STAFF</w:t>
      </w:r>
    </w:p>
    <w:p w:rsidR="00336ED4" w:rsidRPr="00336ED4" w:rsidRDefault="00336ED4" w:rsidP="00336ED4">
      <w:pPr>
        <w:jc w:val="center"/>
        <w:rPr>
          <w:rFonts w:ascii="Times New Roman" w:hAnsi="Times New Roman"/>
          <w:b/>
          <w:szCs w:val="24"/>
        </w:rPr>
      </w:pPr>
      <w:r w:rsidRPr="00336ED4">
        <w:rPr>
          <w:rFonts w:ascii="Times New Roman" w:hAnsi="Times New Roman"/>
          <w:b/>
          <w:szCs w:val="24"/>
        </w:rPr>
        <w:t>PROGRAMME COUNTRIES</w:t>
      </w:r>
    </w:p>
    <w:p w:rsidR="00336ED4" w:rsidRDefault="00336ED4" w:rsidP="00165DBF">
      <w:pPr>
        <w:rPr>
          <w:rFonts w:ascii="Times New Roman" w:hAnsi="Times New Roman"/>
          <w:szCs w:val="24"/>
        </w:rPr>
      </w:pPr>
    </w:p>
    <w:tbl>
      <w:tblPr>
        <w:tblStyle w:val="TableGrid"/>
        <w:tblW w:w="10031" w:type="dxa"/>
        <w:tblLayout w:type="fixed"/>
        <w:tblLook w:val="04A0"/>
      </w:tblPr>
      <w:tblGrid>
        <w:gridCol w:w="4644"/>
        <w:gridCol w:w="1134"/>
        <w:gridCol w:w="1134"/>
        <w:gridCol w:w="1418"/>
        <w:gridCol w:w="1701"/>
      </w:tblGrid>
      <w:tr w:rsidR="00336ED4" w:rsidTr="00336ED4">
        <w:tc>
          <w:tcPr>
            <w:tcW w:w="4644" w:type="dxa"/>
            <w:vMerge w:val="restart"/>
          </w:tcPr>
          <w:p w:rsidR="00336ED4" w:rsidRDefault="00336ED4" w:rsidP="00165D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36ED4" w:rsidRPr="00336ED4" w:rsidRDefault="00336ED4" w:rsidP="00336ED4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 xml:space="preserve">Manager </w:t>
            </w:r>
          </w:p>
        </w:tc>
        <w:tc>
          <w:tcPr>
            <w:tcW w:w="1134" w:type="dxa"/>
          </w:tcPr>
          <w:p w:rsidR="00336ED4" w:rsidRPr="00336ED4" w:rsidRDefault="00336ED4" w:rsidP="00165DBF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>Teacher/ Trainer /Researcher</w:t>
            </w:r>
          </w:p>
        </w:tc>
        <w:tc>
          <w:tcPr>
            <w:tcW w:w="1418" w:type="dxa"/>
          </w:tcPr>
          <w:p w:rsidR="00336ED4" w:rsidRPr="00336ED4" w:rsidRDefault="00336ED4" w:rsidP="00165DBF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>Technician</w:t>
            </w:r>
          </w:p>
        </w:tc>
        <w:tc>
          <w:tcPr>
            <w:tcW w:w="1701" w:type="dxa"/>
          </w:tcPr>
          <w:p w:rsidR="00336ED4" w:rsidRPr="00336ED4" w:rsidRDefault="00336ED4" w:rsidP="00165DBF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 xml:space="preserve">Administrative staff </w:t>
            </w:r>
          </w:p>
        </w:tc>
      </w:tr>
      <w:tr w:rsidR="00336ED4" w:rsidTr="00336ED4">
        <w:tc>
          <w:tcPr>
            <w:tcW w:w="4644" w:type="dxa"/>
            <w:vMerge/>
          </w:tcPr>
          <w:p w:rsidR="00336ED4" w:rsidRDefault="00336ED4" w:rsidP="00165DB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gridSpan w:val="4"/>
          </w:tcPr>
          <w:p w:rsidR="00336ED4" w:rsidRPr="00336ED4" w:rsidRDefault="00336ED4" w:rsidP="00336ED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>AMOUNTS IN EURO PER DAY</w:t>
            </w:r>
          </w:p>
        </w:tc>
      </w:tr>
      <w:tr w:rsidR="00336ED4" w:rsidTr="00336ED4">
        <w:tc>
          <w:tcPr>
            <w:tcW w:w="4644" w:type="dxa"/>
          </w:tcPr>
          <w:p w:rsidR="00336ED4" w:rsidRPr="00336ED4" w:rsidRDefault="00336ED4" w:rsidP="00165DBF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</w:rPr>
              <w:t>Denmark, Ireland, Luxembourg, Netherlands, Austria, Sweden, Liechtenstein, Norway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294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241</w:t>
            </w:r>
          </w:p>
        </w:tc>
        <w:tc>
          <w:tcPr>
            <w:tcW w:w="1418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190</w:t>
            </w:r>
          </w:p>
        </w:tc>
        <w:tc>
          <w:tcPr>
            <w:tcW w:w="1701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</w:t>
            </w:r>
          </w:p>
        </w:tc>
      </w:tr>
      <w:tr w:rsidR="00336ED4" w:rsidTr="00336ED4">
        <w:tc>
          <w:tcPr>
            <w:tcW w:w="4644" w:type="dxa"/>
          </w:tcPr>
          <w:p w:rsid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t xml:space="preserve">Belgium, Germany, France, </w:t>
            </w:r>
            <w:r>
              <w:rPr>
                <w:rFonts w:ascii="Times New Roman" w:hAnsi="Times New Roman"/>
                <w:szCs w:val="24"/>
              </w:rPr>
              <w:t xml:space="preserve">Italy, Finland, United Kingdom, </w:t>
            </w:r>
            <w:r w:rsidRPr="00336ED4">
              <w:rPr>
                <w:rFonts w:ascii="Times New Roman" w:hAnsi="Times New Roman"/>
                <w:szCs w:val="24"/>
              </w:rPr>
              <w:t>Iceland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280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214</w:t>
            </w:r>
          </w:p>
        </w:tc>
        <w:tc>
          <w:tcPr>
            <w:tcW w:w="1418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P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162</w:t>
            </w:r>
          </w:p>
        </w:tc>
        <w:tc>
          <w:tcPr>
            <w:tcW w:w="1701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131</w:t>
            </w:r>
          </w:p>
        </w:tc>
      </w:tr>
      <w:tr w:rsidR="00336ED4" w:rsidTr="00336ED4">
        <w:tc>
          <w:tcPr>
            <w:tcW w:w="4644" w:type="dxa"/>
          </w:tcPr>
          <w:p w:rsid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t xml:space="preserve">Czech Republic, Greece, </w:t>
            </w:r>
            <w:r>
              <w:rPr>
                <w:rFonts w:ascii="Times New Roman" w:hAnsi="Times New Roman"/>
                <w:szCs w:val="24"/>
              </w:rPr>
              <w:t>Spain, Cyprus, Malta, Portugal,</w:t>
            </w:r>
            <w:r w:rsidRPr="00336ED4">
              <w:rPr>
                <w:rFonts w:ascii="Times New Roman" w:hAnsi="Times New Roman"/>
                <w:szCs w:val="24"/>
              </w:rPr>
              <w:t>Slovenia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164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137</w:t>
            </w:r>
          </w:p>
        </w:tc>
        <w:tc>
          <w:tcPr>
            <w:tcW w:w="1418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1701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78</w:t>
            </w:r>
          </w:p>
        </w:tc>
      </w:tr>
      <w:tr w:rsidR="00336ED4" w:rsidTr="00336ED4">
        <w:tc>
          <w:tcPr>
            <w:tcW w:w="4644" w:type="dxa"/>
          </w:tcPr>
          <w:p w:rsidR="00336ED4" w:rsidRP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t>Bulgaria, Estonia, Croat</w:t>
            </w:r>
            <w:r>
              <w:rPr>
                <w:rFonts w:ascii="Times New Roman" w:hAnsi="Times New Roman"/>
                <w:szCs w:val="24"/>
              </w:rPr>
              <w:t xml:space="preserve">ia, Latvia, Lithuania, Hungary, </w:t>
            </w:r>
            <w:r w:rsidRPr="00336ED4">
              <w:rPr>
                <w:rFonts w:ascii="Times New Roman" w:hAnsi="Times New Roman"/>
                <w:szCs w:val="24"/>
              </w:rPr>
              <w:t>Poland, Romania, Slovak</w:t>
            </w:r>
            <w:r>
              <w:rPr>
                <w:rFonts w:ascii="Times New Roman" w:hAnsi="Times New Roman"/>
                <w:szCs w:val="24"/>
              </w:rPr>
              <w:t xml:space="preserve">ia, former Yugoslav Republic of </w:t>
            </w:r>
            <w:r w:rsidRPr="00336ED4">
              <w:rPr>
                <w:rFonts w:ascii="Times New Roman" w:hAnsi="Times New Roman"/>
                <w:szCs w:val="24"/>
              </w:rPr>
              <w:t>Macedonia, Turkey</w:t>
            </w: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</w:t>
            </w: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1418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</w:tc>
        <w:tc>
          <w:tcPr>
            <w:tcW w:w="1701" w:type="dxa"/>
          </w:tcPr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336ED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39</w:t>
            </w:r>
          </w:p>
        </w:tc>
      </w:tr>
    </w:tbl>
    <w:p w:rsidR="00336ED4" w:rsidRDefault="00336ED4" w:rsidP="00336ED4">
      <w:pPr>
        <w:jc w:val="center"/>
        <w:rPr>
          <w:rFonts w:ascii="Times New Roman" w:hAnsi="Times New Roman"/>
          <w:b/>
          <w:szCs w:val="24"/>
        </w:rPr>
      </w:pPr>
    </w:p>
    <w:p w:rsidR="00165DBF" w:rsidRPr="00336ED4" w:rsidRDefault="00336ED4" w:rsidP="00336ED4">
      <w:pPr>
        <w:jc w:val="center"/>
        <w:rPr>
          <w:rFonts w:ascii="Times New Roman" w:hAnsi="Times New Roman"/>
          <w:b/>
          <w:szCs w:val="24"/>
        </w:rPr>
      </w:pPr>
      <w:r w:rsidRPr="00336ED4">
        <w:rPr>
          <w:rFonts w:ascii="Times New Roman" w:hAnsi="Times New Roman"/>
          <w:b/>
          <w:szCs w:val="24"/>
        </w:rPr>
        <w:t>PARTNER COUNTRIES</w:t>
      </w:r>
    </w:p>
    <w:p w:rsidR="0026009B" w:rsidRPr="0026009B" w:rsidRDefault="0026009B" w:rsidP="0026009B">
      <w:pPr>
        <w:rPr>
          <w:rFonts w:ascii="Times New Roman" w:hAnsi="Times New Roman"/>
          <w:szCs w:val="24"/>
        </w:rPr>
      </w:pPr>
    </w:p>
    <w:p w:rsidR="00336ED4" w:rsidRDefault="00336ED4" w:rsidP="00336ED4">
      <w:pPr>
        <w:rPr>
          <w:rFonts w:ascii="Times New Roman" w:hAnsi="Times New Roman"/>
          <w:b/>
          <w:szCs w:val="24"/>
        </w:rPr>
      </w:pPr>
    </w:p>
    <w:tbl>
      <w:tblPr>
        <w:tblStyle w:val="TableGrid"/>
        <w:tblW w:w="10031" w:type="dxa"/>
        <w:tblLayout w:type="fixed"/>
        <w:tblLook w:val="04A0"/>
      </w:tblPr>
      <w:tblGrid>
        <w:gridCol w:w="4644"/>
        <w:gridCol w:w="1134"/>
        <w:gridCol w:w="1134"/>
        <w:gridCol w:w="1418"/>
        <w:gridCol w:w="1701"/>
      </w:tblGrid>
      <w:tr w:rsidR="00336ED4" w:rsidTr="00CE38A2">
        <w:tc>
          <w:tcPr>
            <w:tcW w:w="4644" w:type="dxa"/>
            <w:vMerge w:val="restart"/>
          </w:tcPr>
          <w:p w:rsidR="00336ED4" w:rsidRDefault="00336ED4" w:rsidP="00CE38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36ED4" w:rsidRPr="00336ED4" w:rsidRDefault="00336ED4" w:rsidP="00CE38A2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 xml:space="preserve">Manager </w:t>
            </w:r>
          </w:p>
        </w:tc>
        <w:tc>
          <w:tcPr>
            <w:tcW w:w="1134" w:type="dxa"/>
          </w:tcPr>
          <w:p w:rsidR="00336ED4" w:rsidRPr="00336ED4" w:rsidRDefault="00336ED4" w:rsidP="00CE38A2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>Teacher/ Trainer /Researcher</w:t>
            </w:r>
          </w:p>
        </w:tc>
        <w:tc>
          <w:tcPr>
            <w:tcW w:w="1418" w:type="dxa"/>
          </w:tcPr>
          <w:p w:rsidR="00336ED4" w:rsidRPr="00336ED4" w:rsidRDefault="00336ED4" w:rsidP="00CE38A2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>Technician</w:t>
            </w:r>
          </w:p>
        </w:tc>
        <w:tc>
          <w:tcPr>
            <w:tcW w:w="1701" w:type="dxa"/>
          </w:tcPr>
          <w:p w:rsidR="00336ED4" w:rsidRPr="00336ED4" w:rsidRDefault="00336ED4" w:rsidP="00CE38A2">
            <w:pPr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 xml:space="preserve">Administrative staff </w:t>
            </w:r>
          </w:p>
        </w:tc>
      </w:tr>
      <w:tr w:rsidR="00336ED4" w:rsidTr="00CE38A2">
        <w:tc>
          <w:tcPr>
            <w:tcW w:w="4644" w:type="dxa"/>
            <w:vMerge/>
          </w:tcPr>
          <w:p w:rsidR="00336ED4" w:rsidRDefault="00336ED4" w:rsidP="00CE38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387" w:type="dxa"/>
            <w:gridSpan w:val="4"/>
          </w:tcPr>
          <w:p w:rsidR="00336ED4" w:rsidRPr="00336ED4" w:rsidRDefault="00336ED4" w:rsidP="00CE38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336ED4">
              <w:rPr>
                <w:rFonts w:ascii="Times New Roman" w:hAnsi="Times New Roman"/>
                <w:b/>
              </w:rPr>
              <w:t>AMOUNTS IN EURO PER DAY</w:t>
            </w:r>
          </w:p>
        </w:tc>
      </w:tr>
      <w:tr w:rsidR="00336ED4" w:rsidTr="00CE38A2">
        <w:tc>
          <w:tcPr>
            <w:tcW w:w="4644" w:type="dxa"/>
          </w:tcPr>
          <w:p w:rsidR="00336ED4" w:rsidRPr="00336ED4" w:rsidRDefault="00336ED4" w:rsidP="00CE38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Israel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166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1418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1701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92</w:t>
            </w:r>
          </w:p>
        </w:tc>
      </w:tr>
      <w:tr w:rsidR="00336ED4" w:rsidTr="00CE38A2">
        <w:tc>
          <w:tcPr>
            <w:tcW w:w="4644" w:type="dxa"/>
          </w:tcPr>
          <w:p w:rsid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t>Albania, Angola, Antigua an</w:t>
            </w:r>
            <w:r>
              <w:rPr>
                <w:rFonts w:ascii="Times New Roman" w:hAnsi="Times New Roman"/>
                <w:szCs w:val="24"/>
              </w:rPr>
              <w:t xml:space="preserve">d Barbuda, Argentina, Barbados, </w:t>
            </w:r>
            <w:r w:rsidRPr="00336ED4">
              <w:rPr>
                <w:rFonts w:ascii="Times New Roman" w:hAnsi="Times New Roman"/>
                <w:szCs w:val="24"/>
              </w:rPr>
              <w:t>Bosnia and Herzegovina, Brazil, Chile, Colombia, Comoros,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 xml:space="preserve">Cook Islands, </w:t>
            </w:r>
            <w:r w:rsidRPr="00336ED4">
              <w:rPr>
                <w:rFonts w:ascii="Times New Roman" w:hAnsi="Times New Roman"/>
                <w:szCs w:val="24"/>
              </w:rPr>
              <w:lastRenderedPageBreak/>
              <w:t>Dominica, Gabon, Grenada, Ivory Coast, Kosovo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336ED4">
              <w:rPr>
                <w:rFonts w:ascii="Times New Roman" w:hAnsi="Times New Roman"/>
                <w:szCs w:val="24"/>
              </w:rPr>
              <w:t>Lebanon, Libya, Mexico, Montenegro, Nigeria, Peru, Saint Kitts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 xml:space="preserve">And Nevis, Saint Lucia, Saint </w:t>
            </w:r>
            <w:r>
              <w:rPr>
                <w:rFonts w:ascii="Times New Roman" w:hAnsi="Times New Roman"/>
                <w:szCs w:val="24"/>
              </w:rPr>
              <w:t xml:space="preserve">Vincent And the Grenadines, Sao </w:t>
            </w:r>
            <w:r w:rsidRPr="00336ED4">
              <w:rPr>
                <w:rFonts w:ascii="Times New Roman" w:hAnsi="Times New Roman"/>
                <w:szCs w:val="24"/>
              </w:rPr>
              <w:t>Tome and Principe, Serbia, Seychelles, Thailand, Territory of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>Ukraine as recognised by international law, Uruguay, Venezuela,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>Zambia, Zimbabwe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1418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P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1701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</w:tr>
      <w:tr w:rsidR="00336ED4" w:rsidTr="00CE38A2">
        <w:tc>
          <w:tcPr>
            <w:tcW w:w="4644" w:type="dxa"/>
          </w:tcPr>
          <w:p w:rsidR="00336ED4" w:rsidRP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lastRenderedPageBreak/>
              <w:t xml:space="preserve">Afghanistan, Azerbaijan, </w:t>
            </w:r>
            <w:r>
              <w:rPr>
                <w:rFonts w:ascii="Times New Roman" w:hAnsi="Times New Roman"/>
                <w:szCs w:val="24"/>
              </w:rPr>
              <w:t xml:space="preserve">Bahamas, Bolivia, Burkina Faso, </w:t>
            </w:r>
            <w:r w:rsidRPr="00336ED4">
              <w:rPr>
                <w:rFonts w:ascii="Times New Roman" w:hAnsi="Times New Roman"/>
                <w:szCs w:val="24"/>
              </w:rPr>
              <w:t>Cameroon, China, Congo, Costa Rica, Djibouti, Dominican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>Republic, Ecuador, El Salvador, Ge</w:t>
            </w:r>
            <w:r>
              <w:rPr>
                <w:rFonts w:ascii="Times New Roman" w:hAnsi="Times New Roman"/>
                <w:szCs w:val="24"/>
              </w:rPr>
              <w:t xml:space="preserve">orgia, Guatemala, GuineaBissau, </w:t>
            </w:r>
            <w:r w:rsidRPr="00336ED4">
              <w:rPr>
                <w:rFonts w:ascii="Times New Roman" w:hAnsi="Times New Roman"/>
                <w:szCs w:val="24"/>
              </w:rPr>
              <w:t>Haiti, Iran, Iraq, Jama</w:t>
            </w:r>
            <w:r>
              <w:rPr>
                <w:rFonts w:ascii="Times New Roman" w:hAnsi="Times New Roman"/>
                <w:szCs w:val="24"/>
              </w:rPr>
              <w:t xml:space="preserve">ica, Jordan, Kazakhstan, Kenya, </w:t>
            </w:r>
            <w:r w:rsidRPr="00336ED4">
              <w:rPr>
                <w:rFonts w:ascii="Times New Roman" w:hAnsi="Times New Roman"/>
                <w:szCs w:val="24"/>
              </w:rPr>
              <w:t>Micronesia, Morocco, Mozambique, Namibia, Palestine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336ED4">
              <w:rPr>
                <w:rFonts w:ascii="Times New Roman" w:hAnsi="Times New Roman"/>
                <w:szCs w:val="24"/>
              </w:rPr>
              <w:t>Panama, Papua New Guinea, Paraguay, Senegal, South Africa,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>Surinam, Swaziland, Territory of Russia as recognised by</w:t>
            </w:r>
          </w:p>
          <w:p w:rsid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t>international law, Trinidad and Tobago, Vanuatu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1418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1701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336ED4" w:rsidTr="00CE38A2">
        <w:tc>
          <w:tcPr>
            <w:tcW w:w="4644" w:type="dxa"/>
          </w:tcPr>
          <w:p w:rsidR="00336ED4" w:rsidRPr="00336ED4" w:rsidRDefault="00336ED4" w:rsidP="00336ED4">
            <w:pPr>
              <w:rPr>
                <w:rFonts w:ascii="Times New Roman" w:hAnsi="Times New Roman"/>
                <w:szCs w:val="24"/>
              </w:rPr>
            </w:pPr>
            <w:r w:rsidRPr="00336ED4">
              <w:rPr>
                <w:rFonts w:ascii="Times New Roman" w:hAnsi="Times New Roman"/>
                <w:szCs w:val="24"/>
              </w:rPr>
              <w:t>Algeria, Armenia, Bangladesh, Belarus, Belize, Ben</w:t>
            </w:r>
            <w:r>
              <w:rPr>
                <w:rFonts w:ascii="Times New Roman" w:hAnsi="Times New Roman"/>
                <w:szCs w:val="24"/>
              </w:rPr>
              <w:t xml:space="preserve">in, Bhutan, </w:t>
            </w:r>
            <w:r w:rsidRPr="00336ED4">
              <w:rPr>
                <w:rFonts w:ascii="Times New Roman" w:hAnsi="Times New Roman"/>
                <w:szCs w:val="24"/>
              </w:rPr>
              <w:t>Botswana, Myanmar, Burundi</w:t>
            </w:r>
            <w:r>
              <w:rPr>
                <w:rFonts w:ascii="Times New Roman" w:hAnsi="Times New Roman"/>
                <w:szCs w:val="24"/>
              </w:rPr>
              <w:t xml:space="preserve">, Cambodia, Cape Verde, Central </w:t>
            </w:r>
            <w:r w:rsidRPr="00336ED4">
              <w:rPr>
                <w:rFonts w:ascii="Times New Roman" w:hAnsi="Times New Roman"/>
                <w:szCs w:val="24"/>
              </w:rPr>
              <w:t>African Republic, Chad, Congo</w:t>
            </w:r>
            <w:r>
              <w:rPr>
                <w:rFonts w:ascii="Times New Roman" w:hAnsi="Times New Roman"/>
                <w:szCs w:val="24"/>
              </w:rPr>
              <w:t xml:space="preserve"> – Democratic Republic of the-,</w:t>
            </w:r>
            <w:r w:rsidRPr="00336ED4">
              <w:rPr>
                <w:rFonts w:ascii="Times New Roman" w:hAnsi="Times New Roman"/>
                <w:szCs w:val="24"/>
              </w:rPr>
              <w:t>Cuba, Korea, Egypt, Eritrea, Et</w:t>
            </w:r>
            <w:r>
              <w:rPr>
                <w:rFonts w:ascii="Times New Roman" w:hAnsi="Times New Roman"/>
                <w:szCs w:val="24"/>
              </w:rPr>
              <w:t xml:space="preserve">hiopia, Equatorial Guinea, Fiji </w:t>
            </w:r>
            <w:r w:rsidRPr="00336ED4">
              <w:rPr>
                <w:rFonts w:ascii="Times New Roman" w:hAnsi="Times New Roman"/>
                <w:szCs w:val="24"/>
              </w:rPr>
              <w:t>Island, Gambia, Ghana, G</w:t>
            </w:r>
            <w:r>
              <w:rPr>
                <w:rFonts w:ascii="Times New Roman" w:hAnsi="Times New Roman"/>
                <w:szCs w:val="24"/>
              </w:rPr>
              <w:t xml:space="preserve">uinea, Guyana, Honduras, India, </w:t>
            </w:r>
            <w:r w:rsidRPr="00336ED4">
              <w:rPr>
                <w:rFonts w:ascii="Times New Roman" w:hAnsi="Times New Roman"/>
                <w:szCs w:val="24"/>
              </w:rPr>
              <w:t>Indonesia, Kiribati, Kyrg</w:t>
            </w:r>
            <w:r>
              <w:rPr>
                <w:rFonts w:ascii="Times New Roman" w:hAnsi="Times New Roman"/>
                <w:szCs w:val="24"/>
              </w:rPr>
              <w:t xml:space="preserve">yzstan, Laos, Lesotho, Liberia, </w:t>
            </w:r>
            <w:r w:rsidRPr="00336ED4">
              <w:rPr>
                <w:rFonts w:ascii="Times New Roman" w:hAnsi="Times New Roman"/>
                <w:szCs w:val="24"/>
              </w:rPr>
              <w:t>Madagascar, Malawi, Mal</w:t>
            </w:r>
            <w:r>
              <w:rPr>
                <w:rFonts w:ascii="Times New Roman" w:hAnsi="Times New Roman"/>
                <w:szCs w:val="24"/>
              </w:rPr>
              <w:t xml:space="preserve">aysia, Maldives, Mali, Marshall </w:t>
            </w:r>
            <w:r w:rsidRPr="00336ED4">
              <w:rPr>
                <w:rFonts w:ascii="Times New Roman" w:hAnsi="Times New Roman"/>
                <w:szCs w:val="24"/>
              </w:rPr>
              <w:t>Islands, Mauritania, Mauri</w:t>
            </w:r>
            <w:r>
              <w:rPr>
                <w:rFonts w:ascii="Times New Roman" w:hAnsi="Times New Roman"/>
                <w:szCs w:val="24"/>
              </w:rPr>
              <w:t xml:space="preserve">tius, Moldova, Mongolia, Nauru, </w:t>
            </w:r>
            <w:r w:rsidRPr="00336ED4">
              <w:rPr>
                <w:rFonts w:ascii="Times New Roman" w:hAnsi="Times New Roman"/>
                <w:szCs w:val="24"/>
              </w:rPr>
              <w:t>Nepal, Nicaragua, Niger, Niue</w:t>
            </w:r>
            <w:r>
              <w:rPr>
                <w:rFonts w:ascii="Times New Roman" w:hAnsi="Times New Roman"/>
                <w:szCs w:val="24"/>
              </w:rPr>
              <w:t xml:space="preserve">, Pakistan, Palau, Philippines, </w:t>
            </w:r>
            <w:r w:rsidRPr="00336ED4">
              <w:rPr>
                <w:rFonts w:ascii="Times New Roman" w:hAnsi="Times New Roman"/>
                <w:szCs w:val="24"/>
              </w:rPr>
              <w:t>Rwanda, Samoa, Sierra Leone, So</w:t>
            </w:r>
            <w:r>
              <w:rPr>
                <w:rFonts w:ascii="Times New Roman" w:hAnsi="Times New Roman"/>
                <w:szCs w:val="24"/>
              </w:rPr>
              <w:t xml:space="preserve">lomon, Somalia, South Sudan, </w:t>
            </w:r>
            <w:r w:rsidRPr="00336ED4">
              <w:rPr>
                <w:rFonts w:ascii="Times New Roman" w:hAnsi="Times New Roman"/>
                <w:szCs w:val="24"/>
              </w:rPr>
              <w:t>Sri Lanka, Sudan, Syria, Taji</w:t>
            </w:r>
            <w:r>
              <w:rPr>
                <w:rFonts w:ascii="Times New Roman" w:hAnsi="Times New Roman"/>
                <w:szCs w:val="24"/>
              </w:rPr>
              <w:t>kistan, Tanzania, Timor-Leste –</w:t>
            </w:r>
            <w:r w:rsidRPr="00336ED4">
              <w:rPr>
                <w:rFonts w:ascii="Times New Roman" w:hAnsi="Times New Roman"/>
                <w:szCs w:val="24"/>
              </w:rPr>
              <w:t>Democratic Rep</w:t>
            </w:r>
            <w:r>
              <w:rPr>
                <w:rFonts w:ascii="Times New Roman" w:hAnsi="Times New Roman"/>
                <w:szCs w:val="24"/>
              </w:rPr>
              <w:t xml:space="preserve">ublic of, Togo, Tonga, Tunisia, </w:t>
            </w:r>
            <w:r w:rsidRPr="00336ED4">
              <w:rPr>
                <w:rFonts w:ascii="Times New Roman" w:hAnsi="Times New Roman"/>
                <w:szCs w:val="24"/>
              </w:rPr>
              <w:t>Turkmenistan,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36ED4">
              <w:rPr>
                <w:rFonts w:ascii="Times New Roman" w:hAnsi="Times New Roman"/>
                <w:szCs w:val="24"/>
              </w:rPr>
              <w:t>Tuvalu, Uganda, Uzbekistan, Vietnam, Yemen</w:t>
            </w: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1418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701" w:type="dxa"/>
          </w:tcPr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36ED4" w:rsidRDefault="00336ED4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</w:tr>
    </w:tbl>
    <w:p w:rsidR="00336ED4" w:rsidRDefault="00336ED4" w:rsidP="00336ED4">
      <w:pPr>
        <w:rPr>
          <w:rFonts w:ascii="Times New Roman" w:hAnsi="Times New Roman"/>
          <w:b/>
          <w:szCs w:val="24"/>
        </w:rPr>
      </w:pPr>
    </w:p>
    <w:p w:rsidR="00336ED4" w:rsidRPr="00F627D6" w:rsidRDefault="00336ED4" w:rsidP="00336ED4">
      <w:pPr>
        <w:rPr>
          <w:rFonts w:ascii="Times New Roman" w:hAnsi="Times New Roman"/>
          <w:b/>
          <w:szCs w:val="24"/>
        </w:rPr>
      </w:pPr>
      <w:r w:rsidRPr="00F627D6">
        <w:rPr>
          <w:rFonts w:ascii="Times New Roman" w:hAnsi="Times New Roman"/>
          <w:b/>
          <w:szCs w:val="24"/>
        </w:rPr>
        <w:t>Staff Costs - Za pravdanje honorara, potrebni su:</w:t>
      </w:r>
    </w:p>
    <w:p w:rsidR="00336ED4" w:rsidRPr="00F627D6" w:rsidRDefault="00336ED4" w:rsidP="00336ED4">
      <w:pPr>
        <w:rPr>
          <w:rFonts w:ascii="Times New Roman" w:hAnsi="Times New Roman"/>
          <w:szCs w:val="24"/>
        </w:rPr>
      </w:pPr>
    </w:p>
    <w:p w:rsidR="00336ED4" w:rsidRPr="00F627D6" w:rsidRDefault="00336ED4" w:rsidP="00336ED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627D6">
        <w:rPr>
          <w:rFonts w:ascii="Times New Roman" w:hAnsi="Times New Roman"/>
          <w:sz w:val="24"/>
          <w:szCs w:val="24"/>
        </w:rPr>
        <w:t>Joint declaration template (forma i primjer popunjenog u prilogu);</w:t>
      </w:r>
    </w:p>
    <w:p w:rsidR="00336ED4" w:rsidRPr="00F627D6" w:rsidRDefault="00336ED4" w:rsidP="00336ED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627D6">
        <w:rPr>
          <w:rFonts w:ascii="Times New Roman" w:hAnsi="Times New Roman"/>
          <w:sz w:val="24"/>
          <w:szCs w:val="24"/>
        </w:rPr>
        <w:t>Time sheet template (forma i primjer popunjenog u prilogu);</w:t>
      </w:r>
    </w:p>
    <w:p w:rsidR="00336ED4" w:rsidRPr="00F627D6" w:rsidRDefault="00336ED4" w:rsidP="00336ED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627D6">
        <w:rPr>
          <w:rFonts w:ascii="Times New Roman" w:hAnsi="Times New Roman"/>
          <w:sz w:val="24"/>
          <w:szCs w:val="24"/>
        </w:rPr>
        <w:t>Potvrda o zaposlenju ili ugovor o radu ili ugovor o djelu/angažovanju  sa mati</w:t>
      </w:r>
      <w:r w:rsidRPr="00F627D6">
        <w:rPr>
          <w:rFonts w:ascii="Times New Roman" w:hAnsi="Times New Roman" w:hint="eastAsia"/>
          <w:sz w:val="24"/>
          <w:szCs w:val="24"/>
        </w:rPr>
        <w:t>č</w:t>
      </w:r>
      <w:r w:rsidRPr="00F627D6">
        <w:rPr>
          <w:rFonts w:ascii="Times New Roman" w:hAnsi="Times New Roman"/>
          <w:sz w:val="24"/>
          <w:szCs w:val="24"/>
        </w:rPr>
        <w:t>nom institucijom;</w:t>
      </w:r>
    </w:p>
    <w:p w:rsidR="00336ED4" w:rsidRPr="00F627D6" w:rsidRDefault="00336ED4" w:rsidP="00336ED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627D6">
        <w:rPr>
          <w:rFonts w:ascii="Times New Roman" w:hAnsi="Times New Roman"/>
          <w:sz w:val="24"/>
          <w:szCs w:val="24"/>
        </w:rPr>
        <w:t>Dokaz o obra</w:t>
      </w:r>
      <w:r w:rsidRPr="00F627D6">
        <w:rPr>
          <w:rFonts w:ascii="Times New Roman" w:hAnsi="Times New Roman" w:hint="eastAsia"/>
          <w:sz w:val="24"/>
          <w:szCs w:val="24"/>
        </w:rPr>
        <w:t>č</w:t>
      </w:r>
      <w:r w:rsidRPr="00F627D6">
        <w:rPr>
          <w:rFonts w:ascii="Times New Roman" w:hAnsi="Times New Roman"/>
          <w:sz w:val="24"/>
          <w:szCs w:val="24"/>
        </w:rPr>
        <w:t>unu poreza i doprinosa (poreska prijava)</w:t>
      </w:r>
      <w:r>
        <w:rPr>
          <w:rFonts w:ascii="Times New Roman" w:hAnsi="Times New Roman"/>
          <w:sz w:val="24"/>
          <w:szCs w:val="24"/>
        </w:rPr>
        <w:t xml:space="preserve"> za navedeni period</w:t>
      </w:r>
      <w:r w:rsidRPr="00F627D6">
        <w:rPr>
          <w:rFonts w:ascii="Times New Roman" w:hAnsi="Times New Roman"/>
          <w:sz w:val="24"/>
          <w:szCs w:val="24"/>
        </w:rPr>
        <w:t>;</w:t>
      </w:r>
    </w:p>
    <w:p w:rsidR="00336ED4" w:rsidRDefault="00336ED4" w:rsidP="00336ED4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627D6">
        <w:rPr>
          <w:rFonts w:ascii="Times New Roman" w:hAnsi="Times New Roman"/>
          <w:sz w:val="24"/>
          <w:szCs w:val="24"/>
        </w:rPr>
        <w:t>izvod iz banke koji dokazuje isplatu neto zarade kao i pripadaju</w:t>
      </w:r>
      <w:r w:rsidRPr="00F627D6">
        <w:rPr>
          <w:rFonts w:ascii="Times New Roman" w:hAnsi="Times New Roman" w:hint="eastAsia"/>
          <w:sz w:val="24"/>
          <w:szCs w:val="24"/>
        </w:rPr>
        <w:t>ć</w:t>
      </w:r>
      <w:r w:rsidRPr="00F627D6">
        <w:rPr>
          <w:rFonts w:ascii="Times New Roman" w:hAnsi="Times New Roman"/>
          <w:sz w:val="24"/>
          <w:szCs w:val="24"/>
        </w:rPr>
        <w:t>ih poreza i doprinosa</w:t>
      </w:r>
      <w:r>
        <w:rPr>
          <w:rFonts w:ascii="Times New Roman" w:hAnsi="Times New Roman"/>
          <w:sz w:val="24"/>
          <w:szCs w:val="24"/>
        </w:rPr>
        <w:t xml:space="preserve"> za navedeni period</w:t>
      </w:r>
      <w:r w:rsidRPr="00F627D6">
        <w:rPr>
          <w:rFonts w:ascii="Times New Roman" w:hAnsi="Times New Roman"/>
          <w:sz w:val="24"/>
          <w:szCs w:val="24"/>
        </w:rPr>
        <w:t>;</w:t>
      </w:r>
    </w:p>
    <w:p w:rsidR="00336ED4" w:rsidRDefault="00336ED4" w:rsidP="0026009B">
      <w:pPr>
        <w:rPr>
          <w:rFonts w:ascii="Times New Roman" w:hAnsi="Times New Roman"/>
          <w:b/>
          <w:szCs w:val="24"/>
        </w:rPr>
      </w:pPr>
    </w:p>
    <w:p w:rsidR="00336ED4" w:rsidRDefault="00336ED4" w:rsidP="0026009B">
      <w:pPr>
        <w:rPr>
          <w:rFonts w:ascii="Times New Roman" w:hAnsi="Times New Roman"/>
          <w:b/>
          <w:szCs w:val="24"/>
        </w:rPr>
      </w:pPr>
    </w:p>
    <w:p w:rsidR="00336ED4" w:rsidRDefault="00F627D6" w:rsidP="0026009B">
      <w:pPr>
        <w:rPr>
          <w:rFonts w:ascii="Times New Roman" w:hAnsi="Times New Roman"/>
          <w:b/>
          <w:szCs w:val="24"/>
        </w:rPr>
      </w:pPr>
      <w:r w:rsidRPr="00F627D6">
        <w:rPr>
          <w:rFonts w:ascii="Times New Roman" w:hAnsi="Times New Roman"/>
          <w:b/>
          <w:szCs w:val="24"/>
        </w:rPr>
        <w:t>Travel Costs</w:t>
      </w:r>
      <w:r w:rsidR="008F1EB4">
        <w:rPr>
          <w:rFonts w:ascii="Times New Roman" w:hAnsi="Times New Roman"/>
          <w:b/>
          <w:szCs w:val="24"/>
        </w:rPr>
        <w:t xml:space="preserve"> and Costs of Stay</w:t>
      </w:r>
      <w:r w:rsidRPr="00F627D6">
        <w:rPr>
          <w:rFonts w:ascii="Times New Roman" w:hAnsi="Times New Roman"/>
          <w:b/>
          <w:szCs w:val="24"/>
        </w:rPr>
        <w:t xml:space="preserve"> </w:t>
      </w:r>
    </w:p>
    <w:p w:rsidR="00336ED4" w:rsidRDefault="00336ED4" w:rsidP="0026009B">
      <w:pPr>
        <w:rPr>
          <w:rFonts w:ascii="Times New Roman" w:hAnsi="Times New Roman"/>
          <w:b/>
          <w:szCs w:val="24"/>
        </w:rPr>
      </w:pPr>
    </w:p>
    <w:p w:rsidR="00336ED4" w:rsidRDefault="001239A5" w:rsidP="002600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Putni troškovi su definisani na osnovu distance koja se računa shodno Eropean Commission calculator: </w:t>
      </w:r>
      <w:hyperlink r:id="rId9" w:history="1">
        <w:r w:rsidRPr="000D663A">
          <w:rPr>
            <w:rStyle w:val="Hyperlink"/>
            <w:rFonts w:ascii="Times New Roman" w:hAnsi="Times New Roman"/>
            <w:szCs w:val="24"/>
          </w:rPr>
          <w:t>http://ec.europa.eu/programmes/erasmus-plus/tools/distance_en.htm</w:t>
        </w:r>
      </w:hyperlink>
      <w:r>
        <w:rPr>
          <w:rFonts w:ascii="Times New Roman" w:hAnsi="Times New Roman"/>
          <w:szCs w:val="24"/>
        </w:rPr>
        <w:t xml:space="preserve"> </w:t>
      </w:r>
    </w:p>
    <w:p w:rsidR="001239A5" w:rsidRDefault="001239A5" w:rsidP="0026009B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jc w:val="center"/>
        <w:tblInd w:w="1384" w:type="dxa"/>
        <w:tblLook w:val="04A0"/>
      </w:tblPr>
      <w:tblGrid>
        <w:gridCol w:w="4536"/>
        <w:gridCol w:w="3260"/>
      </w:tblGrid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Distance band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tabs>
                <w:tab w:val="left" w:pos="855"/>
                <w:tab w:val="center" w:pos="2088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Unit cost per participant</w:t>
            </w:r>
          </w:p>
        </w:tc>
      </w:tr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</w:rPr>
              <w:t>Between 100 and 499 KM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</w:rPr>
              <w:t>180 EUR</w:t>
            </w:r>
          </w:p>
        </w:tc>
      </w:tr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</w:rPr>
              <w:t>Between 500 and 1999 KM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  <w:szCs w:val="24"/>
              </w:rPr>
              <w:t>275 EUR</w:t>
            </w:r>
          </w:p>
        </w:tc>
      </w:tr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</w:rPr>
              <w:t>Between 2000 and 2999 KM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  <w:szCs w:val="24"/>
              </w:rPr>
              <w:t>360 EUR</w:t>
            </w:r>
          </w:p>
        </w:tc>
      </w:tr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</w:rPr>
              <w:t>Between 3000 and 3999 KM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  <w:szCs w:val="24"/>
              </w:rPr>
              <w:t>530 EUR</w:t>
            </w:r>
          </w:p>
        </w:tc>
      </w:tr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</w:rPr>
            </w:pPr>
            <w:r w:rsidRPr="001239A5">
              <w:rPr>
                <w:rFonts w:ascii="Times New Roman" w:hAnsi="Times New Roman"/>
              </w:rPr>
              <w:t>Between 4000 and 7999 KM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</w:rPr>
            </w:pPr>
            <w:r w:rsidRPr="001239A5">
              <w:rPr>
                <w:rFonts w:ascii="Times New Roman" w:hAnsi="Times New Roman"/>
              </w:rPr>
              <w:t>820 EUR</w:t>
            </w:r>
          </w:p>
        </w:tc>
      </w:tr>
      <w:tr w:rsidR="001239A5" w:rsidTr="001239A5">
        <w:trPr>
          <w:jc w:val="center"/>
        </w:trPr>
        <w:tc>
          <w:tcPr>
            <w:tcW w:w="4536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</w:rPr>
            </w:pPr>
            <w:r w:rsidRPr="001239A5">
              <w:rPr>
                <w:rFonts w:ascii="Times New Roman" w:hAnsi="Times New Roman"/>
              </w:rPr>
              <w:t>8000 KM or more</w:t>
            </w:r>
          </w:p>
        </w:tc>
        <w:tc>
          <w:tcPr>
            <w:tcW w:w="3260" w:type="dxa"/>
          </w:tcPr>
          <w:p w:rsidR="001239A5" w:rsidRPr="001239A5" w:rsidRDefault="001239A5" w:rsidP="001239A5">
            <w:pPr>
              <w:jc w:val="center"/>
              <w:rPr>
                <w:rFonts w:ascii="Times New Roman" w:hAnsi="Times New Roman"/>
              </w:rPr>
            </w:pPr>
            <w:r w:rsidRPr="001239A5">
              <w:rPr>
                <w:rFonts w:ascii="Times New Roman" w:hAnsi="Times New Roman"/>
              </w:rPr>
              <w:t>1100 EUR</w:t>
            </w:r>
          </w:p>
        </w:tc>
      </w:tr>
    </w:tbl>
    <w:p w:rsidR="001239A5" w:rsidRPr="001239A5" w:rsidRDefault="001239A5" w:rsidP="0026009B">
      <w:pPr>
        <w:rPr>
          <w:rFonts w:ascii="Times New Roman" w:hAnsi="Times New Roman"/>
          <w:szCs w:val="24"/>
        </w:rPr>
      </w:pPr>
    </w:p>
    <w:p w:rsidR="001239A5" w:rsidRDefault="001239A5" w:rsidP="0026009B">
      <w:pPr>
        <w:rPr>
          <w:rFonts w:ascii="Times New Roman" w:hAnsi="Times New Roman"/>
          <w:szCs w:val="24"/>
        </w:rPr>
      </w:pPr>
      <w:r w:rsidRPr="001239A5">
        <w:rPr>
          <w:rFonts w:ascii="Times New Roman" w:hAnsi="Times New Roman"/>
          <w:szCs w:val="24"/>
        </w:rPr>
        <w:t>Dok su troškovi u okviru stavke Cost of stay definisani shodno dužini boravka na putu/sastanku:</w:t>
      </w:r>
    </w:p>
    <w:p w:rsidR="001239A5" w:rsidRDefault="001239A5" w:rsidP="0026009B">
      <w:pPr>
        <w:rPr>
          <w:rFonts w:ascii="Times New Roman" w:hAnsi="Times New Roman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420" w:type="dxa"/>
        <w:tblLook w:val="04A0"/>
      </w:tblPr>
      <w:tblGrid>
        <w:gridCol w:w="2268"/>
        <w:gridCol w:w="1815"/>
      </w:tblGrid>
      <w:tr w:rsidR="001239A5" w:rsidTr="00965838">
        <w:tc>
          <w:tcPr>
            <w:tcW w:w="2268" w:type="dxa"/>
          </w:tcPr>
          <w:p w:rsidR="00965838" w:rsidRDefault="00965838" w:rsidP="0096583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1239A5" w:rsidRPr="001239A5" w:rsidRDefault="001239A5" w:rsidP="009658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STAFF</w:t>
            </w:r>
          </w:p>
        </w:tc>
        <w:tc>
          <w:tcPr>
            <w:tcW w:w="1815" w:type="dxa"/>
          </w:tcPr>
          <w:p w:rsidR="001239A5" w:rsidRPr="001239A5" w:rsidRDefault="001239A5" w:rsidP="009658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Unit cost per day</w:t>
            </w:r>
          </w:p>
          <w:p w:rsidR="001239A5" w:rsidRDefault="001239A5" w:rsidP="0096583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per participant</w:t>
            </w:r>
          </w:p>
          <w:p w:rsidR="001239A5" w:rsidRPr="001239A5" w:rsidRDefault="001239A5" w:rsidP="0096583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1239A5" w:rsidTr="00965838">
        <w:tc>
          <w:tcPr>
            <w:tcW w:w="2268" w:type="dxa"/>
          </w:tcPr>
          <w:p w:rsidR="001239A5" w:rsidRDefault="001239A5" w:rsidP="00965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Up to the 14th day of activity </w:t>
            </w:r>
            <w:r w:rsidRPr="001239A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1815" w:type="dxa"/>
          </w:tcPr>
          <w:p w:rsidR="001239A5" w:rsidRDefault="001239A5" w:rsidP="009658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120 EUR</w:t>
            </w:r>
          </w:p>
        </w:tc>
      </w:tr>
      <w:tr w:rsidR="001239A5" w:rsidTr="00965838">
        <w:tc>
          <w:tcPr>
            <w:tcW w:w="2268" w:type="dxa"/>
          </w:tcPr>
          <w:p w:rsidR="001239A5" w:rsidRPr="001239A5" w:rsidRDefault="001239A5" w:rsidP="00965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Between the 15th and the 60</w:t>
            </w:r>
            <w:r w:rsidRPr="001239A5">
              <w:rPr>
                <w:rFonts w:ascii="Times New Roman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239A5">
              <w:rPr>
                <w:rFonts w:ascii="Times New Roman" w:hAnsi="Times New Roman"/>
                <w:szCs w:val="24"/>
              </w:rPr>
              <w:t>day of activity</w:t>
            </w:r>
          </w:p>
          <w:p w:rsidR="001239A5" w:rsidRDefault="001239A5" w:rsidP="00965838">
            <w:pPr>
              <w:rPr>
                <w:rFonts w:ascii="Times New Roman" w:hAnsi="Times New Roman"/>
                <w:szCs w:val="24"/>
              </w:rPr>
            </w:pPr>
            <w:r w:rsidRPr="001239A5">
              <w:rPr>
                <w:rFonts w:ascii="Times New Roman" w:hAnsi="Times New Roman"/>
                <w:szCs w:val="24"/>
              </w:rPr>
              <w:t>+</w:t>
            </w:r>
          </w:p>
        </w:tc>
        <w:tc>
          <w:tcPr>
            <w:tcW w:w="1815" w:type="dxa"/>
          </w:tcPr>
          <w:p w:rsidR="001239A5" w:rsidRDefault="001239A5" w:rsidP="0096583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239A5" w:rsidRDefault="001239A5" w:rsidP="009658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 EUR</w:t>
            </w:r>
          </w:p>
        </w:tc>
      </w:tr>
      <w:tr w:rsidR="001239A5" w:rsidTr="00965838">
        <w:tc>
          <w:tcPr>
            <w:tcW w:w="2268" w:type="dxa"/>
          </w:tcPr>
          <w:p w:rsidR="001239A5" w:rsidRDefault="001239A5" w:rsidP="00965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Between the 61st day of </w:t>
            </w:r>
            <w:r w:rsidRPr="001239A5">
              <w:rPr>
                <w:rFonts w:ascii="Times New Roman" w:hAnsi="Times New Roman"/>
                <w:szCs w:val="24"/>
              </w:rPr>
              <w:t>activity and up to 3 months</w:t>
            </w:r>
          </w:p>
        </w:tc>
        <w:tc>
          <w:tcPr>
            <w:tcW w:w="1815" w:type="dxa"/>
          </w:tcPr>
          <w:p w:rsidR="001239A5" w:rsidRDefault="001239A5" w:rsidP="00965838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1239A5" w:rsidRDefault="001239A5" w:rsidP="009658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 EUR</w:t>
            </w:r>
          </w:p>
        </w:tc>
      </w:tr>
    </w:tbl>
    <w:tbl>
      <w:tblPr>
        <w:tblStyle w:val="TableGrid"/>
        <w:tblW w:w="0" w:type="auto"/>
        <w:tblInd w:w="420" w:type="dxa"/>
        <w:tblLook w:val="04A0"/>
      </w:tblPr>
      <w:tblGrid>
        <w:gridCol w:w="2268"/>
        <w:gridCol w:w="1815"/>
      </w:tblGrid>
      <w:tr w:rsidR="00965838" w:rsidTr="00CE38A2">
        <w:tc>
          <w:tcPr>
            <w:tcW w:w="2268" w:type="dxa"/>
          </w:tcPr>
          <w:p w:rsidR="00965838" w:rsidRDefault="00965838" w:rsidP="00CE38A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965838" w:rsidRPr="001239A5" w:rsidRDefault="00965838" w:rsidP="00CE38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STUDENT</w:t>
            </w:r>
          </w:p>
        </w:tc>
        <w:tc>
          <w:tcPr>
            <w:tcW w:w="1815" w:type="dxa"/>
          </w:tcPr>
          <w:p w:rsidR="00965838" w:rsidRPr="001239A5" w:rsidRDefault="00965838" w:rsidP="00CE38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Unit cost per day</w:t>
            </w:r>
          </w:p>
          <w:p w:rsidR="00965838" w:rsidRDefault="00965838" w:rsidP="00CE38A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239A5">
              <w:rPr>
                <w:rFonts w:ascii="Times New Roman" w:hAnsi="Times New Roman"/>
                <w:b/>
                <w:szCs w:val="24"/>
              </w:rPr>
              <w:t>per participant</w:t>
            </w:r>
          </w:p>
          <w:p w:rsidR="00965838" w:rsidRPr="001239A5" w:rsidRDefault="00965838" w:rsidP="00CE38A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65838" w:rsidTr="00CE38A2">
        <w:tc>
          <w:tcPr>
            <w:tcW w:w="2268" w:type="dxa"/>
          </w:tcPr>
          <w:p w:rsidR="00965838" w:rsidRDefault="00965838" w:rsidP="00CE38A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Up to the 14th day of activity </w:t>
            </w:r>
            <w:r w:rsidRPr="001239A5">
              <w:rPr>
                <w:rFonts w:ascii="Times New Roman" w:hAnsi="Times New Roman"/>
                <w:szCs w:val="24"/>
              </w:rPr>
              <w:t>+</w:t>
            </w:r>
          </w:p>
          <w:p w:rsidR="00965838" w:rsidRDefault="00965838" w:rsidP="00CE38A2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815" w:type="dxa"/>
          </w:tcPr>
          <w:p w:rsidR="00965838" w:rsidRDefault="00965838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65838" w:rsidRDefault="00965838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  <w:r>
              <w:rPr>
                <w:rFonts w:ascii="Times New Roman" w:hAnsi="Times New Roman"/>
                <w:szCs w:val="24"/>
              </w:rPr>
              <w:t xml:space="preserve"> EUR</w:t>
            </w:r>
          </w:p>
        </w:tc>
      </w:tr>
      <w:tr w:rsidR="00965838" w:rsidTr="00CE38A2">
        <w:tc>
          <w:tcPr>
            <w:tcW w:w="2268" w:type="dxa"/>
          </w:tcPr>
          <w:p w:rsidR="00965838" w:rsidRDefault="00965838" w:rsidP="00965838">
            <w:pPr>
              <w:rPr>
                <w:rFonts w:ascii="Times New Roman" w:hAnsi="Times New Roman"/>
                <w:szCs w:val="24"/>
              </w:rPr>
            </w:pPr>
          </w:p>
          <w:p w:rsidR="00965838" w:rsidRDefault="00965838" w:rsidP="0096583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Between the 15th and the 90T</w:t>
            </w:r>
            <w:r w:rsidRPr="00965838">
              <w:rPr>
                <w:rFonts w:ascii="Times New Roman" w:hAnsi="Times New Roman"/>
                <w:szCs w:val="24"/>
              </w:rPr>
              <w:t>h day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65838">
              <w:rPr>
                <w:rFonts w:ascii="Times New Roman" w:hAnsi="Times New Roman"/>
                <w:szCs w:val="24"/>
              </w:rPr>
              <w:t>of activity</w:t>
            </w:r>
          </w:p>
        </w:tc>
        <w:tc>
          <w:tcPr>
            <w:tcW w:w="1815" w:type="dxa"/>
          </w:tcPr>
          <w:p w:rsidR="00965838" w:rsidRDefault="00965838" w:rsidP="00CE38A2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965838" w:rsidRDefault="00965838" w:rsidP="00CE38A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0 EUR</w:t>
            </w:r>
          </w:p>
        </w:tc>
      </w:tr>
    </w:tbl>
    <w:p w:rsidR="001239A5" w:rsidRPr="001239A5" w:rsidRDefault="00965838" w:rsidP="0026009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textWrapping" w:clear="all"/>
      </w:r>
    </w:p>
    <w:p w:rsidR="001239A5" w:rsidRDefault="001239A5" w:rsidP="0026009B">
      <w:pPr>
        <w:rPr>
          <w:rFonts w:ascii="Times New Roman" w:hAnsi="Times New Roman"/>
          <w:b/>
          <w:szCs w:val="24"/>
        </w:rPr>
      </w:pPr>
    </w:p>
    <w:p w:rsidR="0026009B" w:rsidRPr="00F627D6" w:rsidRDefault="00336ED4" w:rsidP="0026009B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Nakon svakog planiranog putovanja</w:t>
      </w:r>
      <w:r w:rsidR="00F627D6">
        <w:rPr>
          <w:rFonts w:ascii="Times New Roman" w:hAnsi="Times New Roman"/>
          <w:b/>
          <w:szCs w:val="24"/>
        </w:rPr>
        <w:t xml:space="preserve">, </w:t>
      </w:r>
      <w:r w:rsidR="001239A5">
        <w:rPr>
          <w:rFonts w:ascii="Times New Roman" w:hAnsi="Times New Roman"/>
          <w:b/>
          <w:szCs w:val="24"/>
        </w:rPr>
        <w:t>partneri su dužni da pripeme sledeću dokumentaciju</w:t>
      </w:r>
      <w:r w:rsidR="0026009B" w:rsidRPr="00F627D6">
        <w:rPr>
          <w:rFonts w:ascii="Times New Roman" w:hAnsi="Times New Roman"/>
          <w:b/>
          <w:szCs w:val="24"/>
        </w:rPr>
        <w:t>:</w:t>
      </w:r>
    </w:p>
    <w:p w:rsidR="0026009B" w:rsidRPr="0026009B" w:rsidRDefault="0026009B" w:rsidP="0026009B">
      <w:pPr>
        <w:rPr>
          <w:rFonts w:ascii="Times New Roman" w:hAnsi="Times New Roman"/>
          <w:szCs w:val="24"/>
        </w:rPr>
      </w:pPr>
    </w:p>
    <w:p w:rsidR="0026009B" w:rsidRDefault="008F1EB4" w:rsidP="008F1EB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EB4">
        <w:rPr>
          <w:rFonts w:ascii="Times New Roman" w:hAnsi="Times New Roman" w:cs="Times New Roman"/>
          <w:sz w:val="24"/>
          <w:szCs w:val="24"/>
        </w:rPr>
        <w:t>Individual Mobility Report – popunjen obrazac, potpisan od strane lica koje je putovalo (forma obrasca i primjer popunjenog obrasca u prilogu);</w:t>
      </w:r>
    </w:p>
    <w:p w:rsidR="008F1EB4" w:rsidRPr="008F1EB4" w:rsidRDefault="008F1EB4" w:rsidP="008F1EB4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da je lice angažovano na matičnoj instituciji (Ugovor o radu/djelu/honorarnom angažovanju)</w:t>
      </w:r>
    </w:p>
    <w:p w:rsidR="008F1EB4" w:rsidRPr="008F1EB4" w:rsidRDefault="0026009B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EB4">
        <w:rPr>
          <w:rFonts w:ascii="Times New Roman" w:hAnsi="Times New Roman" w:cs="Times New Roman"/>
          <w:sz w:val="24"/>
          <w:szCs w:val="24"/>
        </w:rPr>
        <w:t>Kopija putnog naloga sa obračunom troškova po službenom putu;</w:t>
      </w:r>
    </w:p>
    <w:p w:rsidR="008F1EB4" w:rsidRDefault="0026009B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EB4">
        <w:rPr>
          <w:rFonts w:ascii="Times New Roman" w:hAnsi="Times New Roman" w:cs="Times New Roman"/>
          <w:sz w:val="24"/>
          <w:szCs w:val="24"/>
        </w:rPr>
        <w:t>Fakture za troškove službenog putovanja koje je platila institucija koja je uputila lice na službeni put</w:t>
      </w:r>
      <w:r w:rsidR="008F1EB4" w:rsidRPr="008F1EB4">
        <w:rPr>
          <w:rFonts w:ascii="Times New Roman" w:hAnsi="Times New Roman" w:cs="Times New Roman"/>
          <w:sz w:val="24"/>
          <w:szCs w:val="24"/>
        </w:rPr>
        <w:t xml:space="preserve"> </w:t>
      </w:r>
      <w:r w:rsidRPr="008F1EB4">
        <w:rPr>
          <w:rFonts w:ascii="Times New Roman" w:hAnsi="Times New Roman" w:cs="Times New Roman"/>
          <w:sz w:val="24"/>
          <w:szCs w:val="24"/>
        </w:rPr>
        <w:t>sa odgovarajućim izvodima iz banke</w:t>
      </w:r>
      <w:r w:rsidR="008F1EB4" w:rsidRPr="008F1EB4">
        <w:rPr>
          <w:rFonts w:ascii="Times New Roman" w:hAnsi="Times New Roman" w:cs="Times New Roman"/>
          <w:sz w:val="24"/>
          <w:szCs w:val="24"/>
        </w:rPr>
        <w:t xml:space="preserve"> za stavke koje postoje izvodi</w:t>
      </w:r>
      <w:r w:rsidRPr="008F1EB4">
        <w:rPr>
          <w:rFonts w:ascii="Times New Roman" w:hAnsi="Times New Roman" w:cs="Times New Roman"/>
          <w:sz w:val="24"/>
          <w:szCs w:val="24"/>
        </w:rPr>
        <w:t>;</w:t>
      </w:r>
    </w:p>
    <w:p w:rsidR="008F1EB4" w:rsidRDefault="008F1EB4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Računi koje je lice samo platilo u svrhu realizacije službenog putovanja;</w:t>
      </w:r>
    </w:p>
    <w:p w:rsidR="008F1EB4" w:rsidRDefault="008F1EB4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Avionske karte i boarding karte;</w:t>
      </w:r>
    </w:p>
    <w:p w:rsidR="008F1EB4" w:rsidRPr="008F1EB4" w:rsidRDefault="008F1EB4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Autobuske/vozne karte;</w:t>
      </w:r>
    </w:p>
    <w:p w:rsidR="008F1EB4" w:rsidRPr="008F1EB4" w:rsidRDefault="008F1EB4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EB4">
        <w:rPr>
          <w:rFonts w:ascii="Times New Roman" w:hAnsi="Times New Roman" w:cs="Times New Roman"/>
          <w:sz w:val="24"/>
          <w:szCs w:val="24"/>
        </w:rPr>
        <w:lastRenderedPageBreak/>
        <w:t>Lista prisustva sastanku/radionici na putu;</w:t>
      </w:r>
    </w:p>
    <w:p w:rsidR="008F1EB4" w:rsidRPr="008F1EB4" w:rsidRDefault="008F1EB4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1EB4">
        <w:rPr>
          <w:rFonts w:ascii="Times New Roman" w:hAnsi="Times New Roman" w:cs="Times New Roman"/>
          <w:sz w:val="24"/>
          <w:szCs w:val="24"/>
        </w:rPr>
        <w:t>Agenda sa puta;</w:t>
      </w:r>
    </w:p>
    <w:p w:rsidR="008F1EB4" w:rsidRDefault="008F1EB4" w:rsidP="0026009B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Fotografije kao dokaz.</w:t>
      </w:r>
    </w:p>
    <w:p w:rsidR="008F1EB4" w:rsidRDefault="008F1EB4" w:rsidP="008F1EB4">
      <w:pPr>
        <w:rPr>
          <w:rFonts w:ascii="Times New Roman" w:hAnsi="Times New Roman"/>
          <w:szCs w:val="24"/>
        </w:rPr>
      </w:pPr>
    </w:p>
    <w:p w:rsidR="008F1EB4" w:rsidRPr="008F1EB4" w:rsidRDefault="008F1EB4" w:rsidP="008F1EB4">
      <w:pPr>
        <w:rPr>
          <w:rFonts w:ascii="Times New Roman" w:hAnsi="Times New Roman"/>
          <w:b/>
          <w:szCs w:val="24"/>
        </w:rPr>
      </w:pPr>
      <w:r w:rsidRPr="008F1EB4">
        <w:rPr>
          <w:rFonts w:ascii="Times New Roman" w:hAnsi="Times New Roman"/>
          <w:b/>
          <w:szCs w:val="24"/>
        </w:rPr>
        <w:t>Equipment costs – Kod troškova opreme, potrebni su:</w:t>
      </w:r>
    </w:p>
    <w:p w:rsidR="002F2733" w:rsidRDefault="002F2733" w:rsidP="0026009B">
      <w:pPr>
        <w:rPr>
          <w:rFonts w:ascii="Times New Roman" w:hAnsi="Times New Roman"/>
          <w:szCs w:val="24"/>
        </w:rPr>
      </w:pPr>
    </w:p>
    <w:p w:rsidR="008F1EB4" w:rsidRDefault="008F1EB4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8F1EB4">
        <w:rPr>
          <w:rFonts w:ascii="Times New Roman" w:hAnsi="Times New Roman"/>
          <w:sz w:val="24"/>
          <w:szCs w:val="24"/>
        </w:rPr>
        <w:t>Dokumentacija koja dokazuje da je sprovedeni postupak javne nabavke (ukoliko oprema prelazi 25.000 eur)</w:t>
      </w:r>
      <w:r w:rsidR="00AB041F">
        <w:rPr>
          <w:rFonts w:ascii="Times New Roman" w:hAnsi="Times New Roman"/>
          <w:sz w:val="24"/>
          <w:szCs w:val="24"/>
        </w:rPr>
        <w:t xml:space="preserve">: </w:t>
      </w:r>
    </w:p>
    <w:p w:rsid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pokretanju javne nabavke;</w:t>
      </w:r>
    </w:p>
    <w:p w:rsid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Objavljena specifikacija – tender;</w:t>
      </w:r>
    </w:p>
    <w:p w:rsid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objavljivanju i javnom obavještenju – štampani mediji i website;</w:t>
      </w:r>
    </w:p>
    <w:p w:rsid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Komisije za otvaranje prstiglih ponuda;</w:t>
      </w:r>
    </w:p>
    <w:p w:rsid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Zapisnik Komisije sa otvaranja pristiglih ponuda;</w:t>
      </w:r>
    </w:p>
    <w:p w:rsid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Evaluacija pristiglih ponuda;</w:t>
      </w:r>
    </w:p>
    <w:p w:rsidR="00AB041F" w:rsidRPr="00AB041F" w:rsidRDefault="00AB041F" w:rsidP="00AB041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izboru najbolje ponude;</w:t>
      </w:r>
    </w:p>
    <w:p w:rsidR="008F1EB4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sa izabranim dobavljačima;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Profaktura odabranog dobavljača sa PDV;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Rješenje o oslobađanju od PDV-a;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bez PDV-a;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Otpremnice o dostavljanju opreme;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banke da je isplaćen iznos dobavljaču;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Kopija/potvrde o inventaru da je uvrštena oprema;</w:t>
      </w:r>
    </w:p>
    <w:p w:rsidR="00AB041F" w:rsidRDefault="00AB041F" w:rsidP="008F1EB4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Fotografije opreme sa nalepnicama (logo Erasmus +).</w:t>
      </w:r>
    </w:p>
    <w:p w:rsidR="00AB041F" w:rsidRDefault="00AB041F" w:rsidP="00AB041F">
      <w:pPr>
        <w:rPr>
          <w:rFonts w:ascii="Times New Roman" w:hAnsi="Times New Roman"/>
          <w:szCs w:val="24"/>
        </w:rPr>
      </w:pPr>
    </w:p>
    <w:p w:rsidR="00AB041F" w:rsidRDefault="00AB041F" w:rsidP="00AB041F">
      <w:pPr>
        <w:rPr>
          <w:rFonts w:ascii="Times New Roman" w:hAnsi="Times New Roman"/>
          <w:b/>
          <w:szCs w:val="24"/>
        </w:rPr>
      </w:pPr>
      <w:r w:rsidRPr="00AB041F">
        <w:rPr>
          <w:rFonts w:ascii="Times New Roman" w:hAnsi="Times New Roman"/>
          <w:b/>
          <w:szCs w:val="24"/>
        </w:rPr>
        <w:t xml:space="preserve">Subcontracting </w:t>
      </w:r>
      <w:r>
        <w:rPr>
          <w:rFonts w:ascii="Times New Roman" w:hAnsi="Times New Roman"/>
          <w:b/>
          <w:szCs w:val="24"/>
        </w:rPr>
        <w:t>troškovi su troškovi koji obuhvataju:</w:t>
      </w:r>
    </w:p>
    <w:p w:rsidR="001109C7" w:rsidRDefault="001109C7" w:rsidP="00AB041F">
      <w:pPr>
        <w:rPr>
          <w:rFonts w:ascii="Times New Roman" w:hAnsi="Times New Roman"/>
          <w:b/>
          <w:szCs w:val="24"/>
        </w:rPr>
      </w:pPr>
    </w:p>
    <w:p w:rsidR="00AB041F" w:rsidRP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Troškove  evaluacije i revizije;</w:t>
      </w:r>
    </w:p>
    <w:p w:rsidR="001109C7" w:rsidRP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IT kursevi;</w:t>
      </w:r>
    </w:p>
    <w:p w:rsidR="001109C7" w:rsidRP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Kursevi stranih jezika;</w:t>
      </w:r>
    </w:p>
    <w:p w:rsidR="001109C7" w:rsidRP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Troškovi štampe, publikovanja i diseminacione aktivnosti;</w:t>
      </w:r>
    </w:p>
    <w:p w:rsidR="001109C7" w:rsidRP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Usluge prevođenja;</w:t>
      </w:r>
    </w:p>
    <w:p w:rsidR="001109C7" w:rsidRP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Web dizajn usluge i održavanje;</w:t>
      </w:r>
    </w:p>
    <w:p w:rsidR="001109C7" w:rsidRDefault="001109C7" w:rsidP="001109C7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Logistička podrška pri organizaciji događaja.</w:t>
      </w:r>
    </w:p>
    <w:p w:rsidR="001109C7" w:rsidRDefault="001109C7" w:rsidP="001109C7">
      <w:pPr>
        <w:rPr>
          <w:rFonts w:ascii="Times New Roman" w:hAnsi="Times New Roman"/>
          <w:szCs w:val="24"/>
        </w:rPr>
      </w:pPr>
      <w:r w:rsidRPr="001109C7">
        <w:rPr>
          <w:rFonts w:ascii="Times New Roman" w:hAnsi="Times New Roman"/>
          <w:szCs w:val="24"/>
        </w:rPr>
        <w:t>Dokumentacija za pravdanje Subcontracting troškova je:</w:t>
      </w:r>
    </w:p>
    <w:p w:rsidR="001109C7" w:rsidRPr="001109C7" w:rsidRDefault="001109C7" w:rsidP="001109C7">
      <w:pPr>
        <w:rPr>
          <w:rFonts w:ascii="Times New Roman" w:hAnsi="Times New Roman"/>
          <w:szCs w:val="24"/>
        </w:rPr>
      </w:pPr>
    </w:p>
    <w:p w:rsidR="001109C7" w:rsidRPr="001109C7" w:rsidRDefault="001109C7" w:rsidP="001109C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Faktura dobavljača sa PDV-om;</w:t>
      </w:r>
    </w:p>
    <w:p w:rsidR="001109C7" w:rsidRPr="001109C7" w:rsidRDefault="001109C7" w:rsidP="001109C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Rješenje o oslobađanju od PDV-a;</w:t>
      </w:r>
    </w:p>
    <w:p w:rsidR="001109C7" w:rsidRPr="001109C7" w:rsidRDefault="001109C7" w:rsidP="001109C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lastRenderedPageBreak/>
        <w:t>Fakturu dobavljača bez PDV-a;</w:t>
      </w:r>
    </w:p>
    <w:p w:rsidR="001109C7" w:rsidRPr="001109C7" w:rsidRDefault="001109C7" w:rsidP="001109C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109C7">
        <w:rPr>
          <w:rFonts w:ascii="Times New Roman" w:hAnsi="Times New Roman"/>
          <w:sz w:val="24"/>
          <w:szCs w:val="24"/>
        </w:rPr>
        <w:t>Dokaz da je dobavljaču isplaćen iznos shodno fakturi (izvod iz banke).</w:t>
      </w:r>
    </w:p>
    <w:sectPr w:rsidR="001109C7" w:rsidRPr="001109C7" w:rsidSect="0042260B">
      <w:headerReference w:type="default" r:id="rId10"/>
      <w:footerReference w:type="default" r:id="rId11"/>
      <w:pgSz w:w="12240" w:h="15840"/>
      <w:pgMar w:top="426" w:right="1440" w:bottom="1440" w:left="1440" w:header="426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DFB" w:rsidRDefault="00B53DFB" w:rsidP="00E648DD">
      <w:r>
        <w:separator/>
      </w:r>
    </w:p>
  </w:endnote>
  <w:endnote w:type="continuationSeparator" w:id="1">
    <w:p w:rsidR="00B53DFB" w:rsidRDefault="00B53DFB" w:rsidP="00E64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0B" w:rsidRPr="001109C7" w:rsidRDefault="0042260B" w:rsidP="0042260B">
    <w:pPr>
      <w:pBdr>
        <w:top w:val="single" w:sz="4" w:space="1" w:color="auto"/>
      </w:pBdr>
      <w:jc w:val="center"/>
      <w:rPr>
        <w:rFonts w:ascii="Times New Roman" w:hAnsi="Times New Roman"/>
        <w:szCs w:val="24"/>
        <w:lang w:val="it-IT"/>
      </w:rPr>
    </w:pPr>
    <w:r w:rsidRPr="001109C7">
      <w:rPr>
        <w:rFonts w:ascii="Times New Roman" w:hAnsi="Times New Roman"/>
        <w:szCs w:val="24"/>
        <w:lang w:val="it-IT"/>
      </w:rPr>
      <w:t xml:space="preserve">Donja Gorica, 81000 Podgorica, </w:t>
    </w:r>
    <w:r w:rsidR="00C129B4" w:rsidRPr="001109C7">
      <w:rPr>
        <w:rFonts w:ascii="Times New Roman" w:hAnsi="Times New Roman"/>
        <w:szCs w:val="24"/>
        <w:lang w:val="it-IT"/>
      </w:rPr>
      <w:t>Crna Gora</w:t>
    </w:r>
  </w:p>
  <w:p w:rsidR="0042260B" w:rsidRPr="001109C7" w:rsidRDefault="0042260B" w:rsidP="0042260B">
    <w:pPr>
      <w:pBdr>
        <w:top w:val="single" w:sz="4" w:space="1" w:color="auto"/>
      </w:pBdr>
      <w:jc w:val="center"/>
      <w:rPr>
        <w:rFonts w:ascii="Times New Roman" w:hAnsi="Times New Roman"/>
        <w:szCs w:val="24"/>
        <w:lang w:val="it-IT"/>
      </w:rPr>
    </w:pPr>
    <w:r w:rsidRPr="001109C7">
      <w:rPr>
        <w:rFonts w:ascii="Times New Roman" w:hAnsi="Times New Roman"/>
        <w:szCs w:val="24"/>
        <w:lang w:val="it-IT"/>
      </w:rPr>
      <w:t>Tel/fax: +382 20 410 777, 410 766</w:t>
    </w:r>
  </w:p>
  <w:p w:rsidR="0042260B" w:rsidRPr="001109C7" w:rsidRDefault="003D02B8" w:rsidP="0042260B">
    <w:pPr>
      <w:pBdr>
        <w:top w:val="single" w:sz="4" w:space="1" w:color="auto"/>
      </w:pBdr>
      <w:jc w:val="center"/>
      <w:rPr>
        <w:rFonts w:ascii="Times New Roman" w:hAnsi="Times New Roman"/>
        <w:szCs w:val="24"/>
        <w:lang w:val="it-IT"/>
      </w:rPr>
    </w:pPr>
    <w:hyperlink r:id="rId1" w:history="1">
      <w:r w:rsidR="0042260B" w:rsidRPr="001109C7">
        <w:rPr>
          <w:rStyle w:val="Hyperlink"/>
          <w:rFonts w:ascii="Times New Roman" w:hAnsi="Times New Roman"/>
          <w:color w:val="auto"/>
          <w:szCs w:val="24"/>
          <w:lang w:val="it-IT"/>
        </w:rPr>
        <w:t>udg</w:t>
      </w:r>
      <w:r w:rsidR="0042260B" w:rsidRPr="001109C7">
        <w:rPr>
          <w:rStyle w:val="Hyperlink"/>
          <w:rFonts w:ascii="Times New Roman" w:hAnsi="Times New Roman"/>
          <w:color w:val="auto"/>
          <w:szCs w:val="24"/>
          <w:lang w:val="en-US"/>
        </w:rPr>
        <w:t>@udg.edu.me</w:t>
      </w:r>
    </w:hyperlink>
    <w:r w:rsidR="0042260B" w:rsidRPr="001109C7">
      <w:rPr>
        <w:rFonts w:ascii="Times New Roman" w:hAnsi="Times New Roman"/>
        <w:szCs w:val="24"/>
        <w:lang w:val="it-IT"/>
      </w:rPr>
      <w:t xml:space="preserve">; </w:t>
    </w:r>
  </w:p>
  <w:p w:rsidR="0042260B" w:rsidRPr="00BA2BB5" w:rsidRDefault="0042260B" w:rsidP="0042260B">
    <w:pPr>
      <w:pBdr>
        <w:top w:val="single" w:sz="4" w:space="1" w:color="auto"/>
      </w:pBdr>
      <w:jc w:val="center"/>
      <w:rPr>
        <w:rFonts w:ascii="Arial" w:hAnsi="Arial" w:cs="Arial"/>
        <w:sz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DFB" w:rsidRDefault="00B53DFB" w:rsidP="00E648DD">
      <w:r>
        <w:separator/>
      </w:r>
    </w:p>
  </w:footnote>
  <w:footnote w:type="continuationSeparator" w:id="1">
    <w:p w:rsidR="00B53DFB" w:rsidRDefault="00B53DFB" w:rsidP="00E64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69" w:type="dxa"/>
      <w:jc w:val="center"/>
      <w:tblBorders>
        <w:bottom w:val="single" w:sz="4" w:space="0" w:color="auto"/>
      </w:tblBorders>
      <w:tblLook w:val="0000"/>
    </w:tblPr>
    <w:tblGrid>
      <w:gridCol w:w="2016"/>
      <w:gridCol w:w="7753"/>
    </w:tblGrid>
    <w:tr w:rsidR="00A25F90" w:rsidRPr="00E57352" w:rsidTr="00716152">
      <w:trPr>
        <w:jc w:val="center"/>
      </w:trPr>
      <w:tc>
        <w:tcPr>
          <w:tcW w:w="1504" w:type="dxa"/>
        </w:tcPr>
        <w:p w:rsidR="00A25F90" w:rsidRPr="00E57352" w:rsidRDefault="00A25F90" w:rsidP="00716152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81915</wp:posOffset>
                </wp:positionV>
                <wp:extent cx="1114425" cy="620395"/>
                <wp:effectExtent l="19050" t="0" r="9525" b="0"/>
                <wp:wrapSquare wrapText="bothSides"/>
                <wp:docPr id="1" name="Picture 1" descr="C:\Users\istesevic\AppData\Local\Microsoft\Windows\Temporary Internet Files\Content.Outlook\YY4856SF\logo_veca_rezolucija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stesevic\AppData\Local\Microsoft\Windows\Temporary Internet Files\Content.Outlook\YY4856SF\logo_veca_rezolucija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65" w:type="dxa"/>
          <w:vAlign w:val="center"/>
        </w:tcPr>
        <w:p w:rsidR="005A2C8F" w:rsidRPr="00F627D6" w:rsidRDefault="002F2733" w:rsidP="00716152">
          <w:pPr>
            <w:rPr>
              <w:rFonts w:ascii="Times New Roman" w:hAnsi="Times New Roman"/>
              <w:bCs/>
              <w:szCs w:val="24"/>
              <w:lang w:val="en-US"/>
            </w:rPr>
          </w:pPr>
          <w:r w:rsidRPr="00F627D6">
            <w:rPr>
              <w:rFonts w:ascii="Times New Roman" w:hAnsi="Times New Roman"/>
              <w:bCs/>
              <w:szCs w:val="24"/>
            </w:rPr>
            <w:t>University of Donja Gorica</w:t>
          </w:r>
        </w:p>
        <w:p w:rsidR="001C4752" w:rsidRPr="00F627D6" w:rsidRDefault="001C4752" w:rsidP="00716152">
          <w:pPr>
            <w:rPr>
              <w:rFonts w:ascii="Times New Roman" w:hAnsi="Times New Roman"/>
              <w:bCs/>
              <w:szCs w:val="24"/>
            </w:rPr>
          </w:pPr>
          <w:r w:rsidRPr="00F627D6">
            <w:rPr>
              <w:rFonts w:ascii="Times New Roman" w:hAnsi="Times New Roman"/>
              <w:bCs/>
              <w:szCs w:val="24"/>
            </w:rPr>
            <w:t>www.udg.edu.me</w:t>
          </w:r>
          <w:r w:rsidR="00C9708F" w:rsidRPr="00F627D6">
            <w:rPr>
              <w:rFonts w:ascii="Times New Roman" w:hAnsi="Times New Roman"/>
              <w:bCs/>
              <w:szCs w:val="24"/>
            </w:rPr>
            <w:t xml:space="preserve"> </w:t>
          </w:r>
        </w:p>
        <w:p w:rsidR="00A25F90" w:rsidRPr="00E57352" w:rsidRDefault="00A25F90" w:rsidP="00716152">
          <w:pPr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                                   </w:t>
          </w:r>
        </w:p>
      </w:tc>
    </w:tr>
  </w:tbl>
  <w:p w:rsidR="00A25F90" w:rsidRDefault="00A25F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080"/>
    <w:multiLevelType w:val="hybridMultilevel"/>
    <w:tmpl w:val="9A6C88DE"/>
    <w:lvl w:ilvl="0" w:tplc="B9986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02F9"/>
    <w:multiLevelType w:val="hybridMultilevel"/>
    <w:tmpl w:val="5DA624AE"/>
    <w:lvl w:ilvl="0" w:tplc="1CA89DC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D6B48"/>
    <w:multiLevelType w:val="hybridMultilevel"/>
    <w:tmpl w:val="AEAEF12C"/>
    <w:lvl w:ilvl="0" w:tplc="83E0A04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25890"/>
    <w:multiLevelType w:val="hybridMultilevel"/>
    <w:tmpl w:val="CFB023FA"/>
    <w:lvl w:ilvl="0" w:tplc="68C8444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8247F"/>
    <w:multiLevelType w:val="hybridMultilevel"/>
    <w:tmpl w:val="530A33FA"/>
    <w:lvl w:ilvl="0" w:tplc="9E62BC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C4177"/>
    <w:multiLevelType w:val="hybridMultilevel"/>
    <w:tmpl w:val="4A72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22FF9"/>
    <w:multiLevelType w:val="hybridMultilevel"/>
    <w:tmpl w:val="9D2057CA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80064"/>
    <w:multiLevelType w:val="hybridMultilevel"/>
    <w:tmpl w:val="5212D424"/>
    <w:lvl w:ilvl="0" w:tplc="68C8444E">
      <w:start w:val="1"/>
      <w:numFmt w:val="bullet"/>
      <w:lvlText w:val="-"/>
      <w:lvlJc w:val="left"/>
      <w:pPr>
        <w:ind w:left="1665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4D631347"/>
    <w:multiLevelType w:val="hybridMultilevel"/>
    <w:tmpl w:val="63505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5100C6"/>
    <w:multiLevelType w:val="hybridMultilevel"/>
    <w:tmpl w:val="DB920F46"/>
    <w:lvl w:ilvl="0" w:tplc="445CE2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2D316A"/>
    <w:multiLevelType w:val="hybridMultilevel"/>
    <w:tmpl w:val="0AD8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046BB"/>
    <w:multiLevelType w:val="hybridMultilevel"/>
    <w:tmpl w:val="603C6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15714"/>
  </w:hdrShapeDefaults>
  <w:footnotePr>
    <w:footnote w:id="0"/>
    <w:footnote w:id="1"/>
  </w:footnotePr>
  <w:endnotePr>
    <w:endnote w:id="0"/>
    <w:endnote w:id="1"/>
  </w:endnotePr>
  <w:compat/>
  <w:rsids>
    <w:rsidRoot w:val="008C2824"/>
    <w:rsid w:val="000112C6"/>
    <w:rsid w:val="00020B88"/>
    <w:rsid w:val="0002356A"/>
    <w:rsid w:val="00030A2D"/>
    <w:rsid w:val="00046DE9"/>
    <w:rsid w:val="00076531"/>
    <w:rsid w:val="000800CB"/>
    <w:rsid w:val="0009541D"/>
    <w:rsid w:val="000B62DA"/>
    <w:rsid w:val="000C60B5"/>
    <w:rsid w:val="000D27DD"/>
    <w:rsid w:val="001109C7"/>
    <w:rsid w:val="00111478"/>
    <w:rsid w:val="001239A5"/>
    <w:rsid w:val="001523F2"/>
    <w:rsid w:val="00165DBF"/>
    <w:rsid w:val="00174E3D"/>
    <w:rsid w:val="001A01E8"/>
    <w:rsid w:val="001C4752"/>
    <w:rsid w:val="001E3089"/>
    <w:rsid w:val="00234DBD"/>
    <w:rsid w:val="00254827"/>
    <w:rsid w:val="0026009B"/>
    <w:rsid w:val="00261313"/>
    <w:rsid w:val="00271293"/>
    <w:rsid w:val="00294153"/>
    <w:rsid w:val="002B239D"/>
    <w:rsid w:val="002F2733"/>
    <w:rsid w:val="002F36F4"/>
    <w:rsid w:val="002F77F6"/>
    <w:rsid w:val="00303DE3"/>
    <w:rsid w:val="00336BDC"/>
    <w:rsid w:val="00336ED4"/>
    <w:rsid w:val="00343F28"/>
    <w:rsid w:val="00353C26"/>
    <w:rsid w:val="003726B3"/>
    <w:rsid w:val="003876D7"/>
    <w:rsid w:val="003C270C"/>
    <w:rsid w:val="003D02B8"/>
    <w:rsid w:val="003E54F6"/>
    <w:rsid w:val="00406090"/>
    <w:rsid w:val="004212F0"/>
    <w:rsid w:val="0042260B"/>
    <w:rsid w:val="00470AFA"/>
    <w:rsid w:val="00471D01"/>
    <w:rsid w:val="0047391B"/>
    <w:rsid w:val="00491756"/>
    <w:rsid w:val="004952A6"/>
    <w:rsid w:val="00496B6C"/>
    <w:rsid w:val="004D2481"/>
    <w:rsid w:val="004E40FC"/>
    <w:rsid w:val="004E4264"/>
    <w:rsid w:val="004F5EEE"/>
    <w:rsid w:val="00501D2F"/>
    <w:rsid w:val="00533AC7"/>
    <w:rsid w:val="00545533"/>
    <w:rsid w:val="005524BA"/>
    <w:rsid w:val="00567A54"/>
    <w:rsid w:val="00571414"/>
    <w:rsid w:val="00577248"/>
    <w:rsid w:val="00581416"/>
    <w:rsid w:val="0059242F"/>
    <w:rsid w:val="005966AA"/>
    <w:rsid w:val="005A21C1"/>
    <w:rsid w:val="005A2C8F"/>
    <w:rsid w:val="005D1460"/>
    <w:rsid w:val="005E2073"/>
    <w:rsid w:val="005F2C94"/>
    <w:rsid w:val="006106DC"/>
    <w:rsid w:val="00630689"/>
    <w:rsid w:val="00661334"/>
    <w:rsid w:val="00665729"/>
    <w:rsid w:val="00677C48"/>
    <w:rsid w:val="00694B40"/>
    <w:rsid w:val="006A54DF"/>
    <w:rsid w:val="006D0517"/>
    <w:rsid w:val="006D2B53"/>
    <w:rsid w:val="006D4BD1"/>
    <w:rsid w:val="006F6C94"/>
    <w:rsid w:val="006F7521"/>
    <w:rsid w:val="00703B3C"/>
    <w:rsid w:val="007140E4"/>
    <w:rsid w:val="00734812"/>
    <w:rsid w:val="00741514"/>
    <w:rsid w:val="00760FF3"/>
    <w:rsid w:val="00780330"/>
    <w:rsid w:val="007C628A"/>
    <w:rsid w:val="007D2C55"/>
    <w:rsid w:val="007F4FE0"/>
    <w:rsid w:val="00861790"/>
    <w:rsid w:val="008646F3"/>
    <w:rsid w:val="008649A0"/>
    <w:rsid w:val="00867249"/>
    <w:rsid w:val="00871F42"/>
    <w:rsid w:val="00872659"/>
    <w:rsid w:val="008917CA"/>
    <w:rsid w:val="008C2824"/>
    <w:rsid w:val="008E42F2"/>
    <w:rsid w:val="008F1EB4"/>
    <w:rsid w:val="009214F9"/>
    <w:rsid w:val="0093745C"/>
    <w:rsid w:val="00955BD7"/>
    <w:rsid w:val="00965838"/>
    <w:rsid w:val="00987F94"/>
    <w:rsid w:val="00991AED"/>
    <w:rsid w:val="009C502B"/>
    <w:rsid w:val="009E571A"/>
    <w:rsid w:val="009F3150"/>
    <w:rsid w:val="00A05445"/>
    <w:rsid w:val="00A22F18"/>
    <w:rsid w:val="00A25F90"/>
    <w:rsid w:val="00A449D6"/>
    <w:rsid w:val="00A46E3C"/>
    <w:rsid w:val="00A50398"/>
    <w:rsid w:val="00A54E93"/>
    <w:rsid w:val="00A800AD"/>
    <w:rsid w:val="00AA22DE"/>
    <w:rsid w:val="00AA4BB6"/>
    <w:rsid w:val="00AA5896"/>
    <w:rsid w:val="00AB041F"/>
    <w:rsid w:val="00AB3F83"/>
    <w:rsid w:val="00AB4183"/>
    <w:rsid w:val="00AC53A4"/>
    <w:rsid w:val="00AD0C3B"/>
    <w:rsid w:val="00AD2418"/>
    <w:rsid w:val="00AD7CE8"/>
    <w:rsid w:val="00AE2384"/>
    <w:rsid w:val="00AF78FC"/>
    <w:rsid w:val="00B12162"/>
    <w:rsid w:val="00B477CF"/>
    <w:rsid w:val="00B53DFB"/>
    <w:rsid w:val="00B959B1"/>
    <w:rsid w:val="00BA2BB5"/>
    <w:rsid w:val="00BB36C7"/>
    <w:rsid w:val="00BC707F"/>
    <w:rsid w:val="00BD296F"/>
    <w:rsid w:val="00BE4702"/>
    <w:rsid w:val="00BF30A5"/>
    <w:rsid w:val="00C129B4"/>
    <w:rsid w:val="00C376FF"/>
    <w:rsid w:val="00C47EB6"/>
    <w:rsid w:val="00C5297F"/>
    <w:rsid w:val="00C62738"/>
    <w:rsid w:val="00C63938"/>
    <w:rsid w:val="00C96224"/>
    <w:rsid w:val="00C9708F"/>
    <w:rsid w:val="00CB3F88"/>
    <w:rsid w:val="00CD3BD9"/>
    <w:rsid w:val="00CF1772"/>
    <w:rsid w:val="00D26CA1"/>
    <w:rsid w:val="00D500C4"/>
    <w:rsid w:val="00D6218C"/>
    <w:rsid w:val="00D6262A"/>
    <w:rsid w:val="00D822AA"/>
    <w:rsid w:val="00D9376B"/>
    <w:rsid w:val="00DA0E5B"/>
    <w:rsid w:val="00DA427F"/>
    <w:rsid w:val="00DD7459"/>
    <w:rsid w:val="00DE2F4D"/>
    <w:rsid w:val="00DE501A"/>
    <w:rsid w:val="00E04865"/>
    <w:rsid w:val="00E368DD"/>
    <w:rsid w:val="00E50485"/>
    <w:rsid w:val="00E648DD"/>
    <w:rsid w:val="00EC4A1D"/>
    <w:rsid w:val="00F07A55"/>
    <w:rsid w:val="00F123D4"/>
    <w:rsid w:val="00F325EA"/>
    <w:rsid w:val="00F52C81"/>
    <w:rsid w:val="00F53A0F"/>
    <w:rsid w:val="00F627D6"/>
    <w:rsid w:val="00F65124"/>
    <w:rsid w:val="00F82B3F"/>
    <w:rsid w:val="00FC7314"/>
    <w:rsid w:val="00FD41F6"/>
    <w:rsid w:val="00FD5DA8"/>
    <w:rsid w:val="00FD67EA"/>
    <w:rsid w:val="00FD7479"/>
    <w:rsid w:val="00FD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84"/>
    <w:pPr>
      <w:spacing w:after="0" w:line="240" w:lineRule="auto"/>
      <w:jc w:val="both"/>
    </w:pPr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0330"/>
    <w:pPr>
      <w:keepNext/>
      <w:jc w:val="center"/>
      <w:outlineLvl w:val="0"/>
    </w:pPr>
    <w:rPr>
      <w:rFonts w:ascii="Times New Roman" w:hAnsi="Times New Roman"/>
      <w:b/>
      <w:bCs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3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384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64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8DD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4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8DD"/>
    <w:rPr>
      <w:rFonts w:ascii="Times New Roman YU" w:eastAsia="Times New Roman" w:hAnsi="Times New Roman YU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20B8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CD3BD9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character" w:customStyle="1" w:styleId="podebljano">
    <w:name w:val="podebljano"/>
    <w:rsid w:val="00577248"/>
    <w:rPr>
      <w:rFonts w:ascii="Arial" w:hAnsi="Arial" w:cs="Arial" w:hint="default"/>
      <w:b/>
      <w:bCs/>
      <w:color w:val="000090"/>
      <w:spacing w:val="20"/>
      <w:w w:val="0"/>
      <w:sz w:val="17"/>
      <w:szCs w:val="17"/>
    </w:rPr>
  </w:style>
  <w:style w:type="character" w:customStyle="1" w:styleId="Heading1Char">
    <w:name w:val="Heading 1 Char"/>
    <w:basedOn w:val="DefaultParagraphFont"/>
    <w:link w:val="Heading1"/>
    <w:rsid w:val="00780330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table" w:customStyle="1" w:styleId="GridTableLight">
    <w:name w:val="Grid Table Light"/>
    <w:basedOn w:val="TableNormal"/>
    <w:uiPriority w:val="40"/>
    <w:rsid w:val="00E504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36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ec.europa.eu/programmes/erasmus-plus/tools/distance_en.ht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g@udg.edu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CB1327-48B6-4DFA-B2FC-950004D0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Donja Gorica</vt:lpstr>
    </vt:vector>
  </TitlesOfParts>
  <Company>Univerzitet Donja Gorica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Donja Gorica</dc:title>
  <dc:creator>sandra.tinaj</dc:creator>
  <cp:lastModifiedBy>Bojana.Malisic</cp:lastModifiedBy>
  <cp:revision>3</cp:revision>
  <cp:lastPrinted>2018-04-24T12:53:00Z</cp:lastPrinted>
  <dcterms:created xsi:type="dcterms:W3CDTF">2018-08-15T12:56:00Z</dcterms:created>
  <dcterms:modified xsi:type="dcterms:W3CDTF">2018-12-03T20:52:00Z</dcterms:modified>
</cp:coreProperties>
</file>